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6F7E" w14:textId="50799D0D" w:rsidR="0086384B" w:rsidRDefault="0086384B" w:rsidP="000F450E">
      <w:pPr>
        <w:pStyle w:val="NormalWeb"/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 w:rsidRPr="0086384B"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Highways report April 2024 – Cllr Doug Bown</w:t>
      </w:r>
    </w:p>
    <w:p w14:paraId="7644D579" w14:textId="4DBB22BE" w:rsidR="0086384B" w:rsidRPr="0086384B" w:rsidRDefault="0086384B" w:rsidP="000F450E">
      <w:pPr>
        <w:pStyle w:val="NormalWeb"/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On the busses </w:t>
      </w:r>
    </w:p>
    <w:p w14:paraId="76D4FA86" w14:textId="08F85F3B" w:rsidR="000F450E" w:rsidRDefault="000F450E" w:rsidP="000F450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More than £30 million is to be invested in safer, </w:t>
      </w:r>
      <w:r w:rsidR="0086384B">
        <w:rPr>
          <w:rFonts w:ascii="Arial" w:hAnsi="Arial" w:cs="Arial"/>
          <w:color w:val="000000"/>
          <w:sz w:val="20"/>
          <w:szCs w:val="20"/>
        </w:rPr>
        <w:t>greener,</w:t>
      </w:r>
      <w:r>
        <w:rPr>
          <w:rFonts w:ascii="Arial" w:hAnsi="Arial" w:cs="Arial"/>
          <w:color w:val="000000"/>
          <w:sz w:val="20"/>
          <w:szCs w:val="20"/>
        </w:rPr>
        <w:t xml:space="preserve"> and healthier travel in Basildon.</w:t>
      </w:r>
    </w:p>
    <w:p w14:paraId="639BCE14" w14:textId="02BC3B8F" w:rsidR="000F450E" w:rsidRDefault="000F450E" w:rsidP="000F450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Department for Transport (DfT) has confirmed the town will be one of </w:t>
      </w:r>
      <w:r w:rsidR="0086384B">
        <w:rPr>
          <w:rFonts w:ascii="Arial" w:hAnsi="Arial" w:cs="Arial"/>
          <w:color w:val="000000"/>
          <w:sz w:val="20"/>
          <w:szCs w:val="20"/>
        </w:rPr>
        <w:t>several</w:t>
      </w:r>
      <w:r>
        <w:rPr>
          <w:rFonts w:ascii="Arial" w:hAnsi="Arial" w:cs="Arial"/>
          <w:color w:val="000000"/>
          <w:sz w:val="20"/>
          <w:szCs w:val="20"/>
        </w:rPr>
        <w:t xml:space="preserve"> areas across the south-east of England to receive funding for electric buses.</w:t>
      </w:r>
    </w:p>
    <w:p w14:paraId="6B3DC894" w14:textId="77777777" w:rsidR="000F450E" w:rsidRDefault="000F450E" w:rsidP="000F450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Essex County Council and First Bus were successful in securing £4.8 million from the Government’s Zero Emission Bus Regional Areas (ZEBRA) 2 scheme. This will fund 55 electric buses in Basildon.</w:t>
      </w:r>
    </w:p>
    <w:p w14:paraId="3C44C483" w14:textId="77777777" w:rsidR="000F450E" w:rsidRDefault="000F450E" w:rsidP="000F450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 Bus is additionally investing £25.8 million into the scheme, which will also include upgrading the Basildon bus depot.</w:t>
      </w:r>
    </w:p>
    <w:p w14:paraId="35339B0D" w14:textId="22DCF5B5" w:rsidR="000F450E" w:rsidRDefault="000F450E" w:rsidP="000F450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buses are expected to be in place in late 2025, and are expected to service Basildon, as well as routes between the town and neighbouring areas such as Chelmsford, </w:t>
      </w:r>
      <w:r w:rsidR="0086384B">
        <w:rPr>
          <w:rFonts w:ascii="Arial" w:hAnsi="Arial" w:cs="Arial"/>
          <w:color w:val="000000"/>
          <w:sz w:val="20"/>
          <w:szCs w:val="20"/>
        </w:rPr>
        <w:t>Lakeside,</w:t>
      </w:r>
      <w:r>
        <w:rPr>
          <w:rFonts w:ascii="Arial" w:hAnsi="Arial" w:cs="Arial"/>
          <w:color w:val="000000"/>
          <w:sz w:val="20"/>
          <w:szCs w:val="20"/>
        </w:rPr>
        <w:t xml:space="preserve"> and Southend.</w:t>
      </w:r>
    </w:p>
    <w:p w14:paraId="1B81E26E" w14:textId="3566C18A" w:rsidR="000F450E" w:rsidRPr="0086384B" w:rsidRDefault="000F450E" w:rsidP="000F450E">
      <w:pPr>
        <w:rPr>
          <w:rFonts w:ascii="Arial" w:hAnsi="Arial" w:cs="Arial"/>
          <w:sz w:val="20"/>
          <w:szCs w:val="20"/>
          <w:lang w:eastAsia="en-US"/>
        </w:rPr>
      </w:pPr>
      <w:r w:rsidRPr="0086384B">
        <w:rPr>
          <w:rFonts w:ascii="Arial" w:hAnsi="Arial" w:cs="Arial"/>
          <w:sz w:val="20"/>
          <w:szCs w:val="20"/>
          <w:lang w:eastAsia="en-US"/>
        </w:rPr>
        <w:t xml:space="preserve">Essex County Council have </w:t>
      </w:r>
      <w:r w:rsidR="0086384B" w:rsidRPr="0086384B">
        <w:rPr>
          <w:rFonts w:ascii="Arial" w:hAnsi="Arial" w:cs="Arial"/>
          <w:sz w:val="20"/>
          <w:szCs w:val="20"/>
          <w:lang w:eastAsia="en-US"/>
        </w:rPr>
        <w:t>opened</w:t>
      </w:r>
      <w:r w:rsidRPr="0086384B">
        <w:rPr>
          <w:rFonts w:ascii="Arial" w:hAnsi="Arial" w:cs="Arial"/>
          <w:sz w:val="20"/>
          <w:szCs w:val="20"/>
          <w:lang w:eastAsia="en-US"/>
        </w:rPr>
        <w:t xml:space="preserve"> a review of the bus </w:t>
      </w:r>
      <w:r w:rsidR="0086384B" w:rsidRPr="0086384B">
        <w:rPr>
          <w:rFonts w:ascii="Arial" w:hAnsi="Arial" w:cs="Arial"/>
          <w:sz w:val="20"/>
          <w:szCs w:val="20"/>
          <w:lang w:eastAsia="en-US"/>
        </w:rPr>
        <w:t>network,</w:t>
      </w:r>
      <w:r w:rsidRPr="0086384B">
        <w:rPr>
          <w:rFonts w:ascii="Arial" w:hAnsi="Arial" w:cs="Arial"/>
          <w:sz w:val="20"/>
          <w:szCs w:val="20"/>
          <w:lang w:eastAsia="en-US"/>
        </w:rPr>
        <w:t xml:space="preserve"> and the first stage is now underway. We have also launched a consultation on our Supported Local Bus Services 2024-2028. </w:t>
      </w:r>
    </w:p>
    <w:p w14:paraId="60D855B9" w14:textId="77777777" w:rsidR="000F450E" w:rsidRPr="0086384B" w:rsidRDefault="000F450E" w:rsidP="000F450E">
      <w:pPr>
        <w:rPr>
          <w:rFonts w:ascii="Arial" w:hAnsi="Arial" w:cs="Arial"/>
          <w:sz w:val="20"/>
          <w:szCs w:val="20"/>
          <w:lang w:eastAsia="en-US"/>
        </w:rPr>
      </w:pPr>
      <w:r w:rsidRPr="0086384B">
        <w:rPr>
          <w:rFonts w:ascii="Arial" w:hAnsi="Arial" w:cs="Arial"/>
          <w:sz w:val="20"/>
          <w:szCs w:val="20"/>
          <w:lang w:eastAsia="en-US"/>
        </w:rPr>
        <w:t xml:space="preserve">We would encourage people to complete the survey online by visiting the web site </w:t>
      </w:r>
      <w:hyperlink r:id="rId5" w:history="1">
        <w:r w:rsidRPr="0086384B">
          <w:rPr>
            <w:rStyle w:val="Hyperlink"/>
            <w:rFonts w:ascii="Arial" w:eastAsiaTheme="majorEastAsia" w:hAnsi="Arial" w:cs="Arial"/>
            <w:sz w:val="20"/>
            <w:szCs w:val="20"/>
            <w:lang w:eastAsia="en-US"/>
          </w:rPr>
          <w:t>https://consultations.essex.gov.uk/iptu/2023</w:t>
        </w:r>
      </w:hyperlink>
    </w:p>
    <w:p w14:paraId="665D8A26" w14:textId="77777777" w:rsidR="000F450E" w:rsidRPr="0086384B" w:rsidRDefault="000F450E" w:rsidP="000F450E">
      <w:pPr>
        <w:rPr>
          <w:rFonts w:ascii="Arial" w:hAnsi="Arial" w:cs="Arial"/>
          <w:sz w:val="20"/>
          <w:szCs w:val="20"/>
          <w:lang w:eastAsia="en-US"/>
        </w:rPr>
      </w:pPr>
      <w:r w:rsidRPr="0086384B">
        <w:rPr>
          <w:rFonts w:ascii="Arial" w:hAnsi="Arial" w:cs="Arial"/>
          <w:sz w:val="20"/>
          <w:szCs w:val="20"/>
          <w:lang w:eastAsia="en-US"/>
        </w:rPr>
        <w:t> </w:t>
      </w:r>
    </w:p>
    <w:p w14:paraId="2D89BBE2" w14:textId="632F895C" w:rsidR="000F450E" w:rsidRPr="0086384B" w:rsidRDefault="000F450E" w:rsidP="000F450E">
      <w:pPr>
        <w:rPr>
          <w:sz w:val="20"/>
          <w:szCs w:val="20"/>
          <w:lang w:eastAsia="en-US"/>
        </w:rPr>
      </w:pPr>
      <w:r w:rsidRPr="0086384B">
        <w:rPr>
          <w:rFonts w:ascii="Arial" w:hAnsi="Arial" w:cs="Arial"/>
          <w:sz w:val="20"/>
          <w:szCs w:val="20"/>
          <w:lang w:eastAsia="en-US"/>
        </w:rPr>
        <w:t xml:space="preserve">As soon as we </w:t>
      </w:r>
      <w:r w:rsidR="0086384B" w:rsidRPr="0086384B">
        <w:rPr>
          <w:rFonts w:ascii="Arial" w:hAnsi="Arial" w:cs="Arial"/>
          <w:sz w:val="20"/>
          <w:szCs w:val="20"/>
          <w:lang w:eastAsia="en-US"/>
        </w:rPr>
        <w:t>can</w:t>
      </w:r>
      <w:r w:rsidRPr="0086384B">
        <w:rPr>
          <w:rFonts w:ascii="Arial" w:hAnsi="Arial" w:cs="Arial"/>
          <w:sz w:val="20"/>
          <w:szCs w:val="20"/>
          <w:lang w:eastAsia="en-US"/>
        </w:rPr>
        <w:t xml:space="preserve"> review the existing network we will liaise with local Parish and Town </w:t>
      </w:r>
      <w:r w:rsidR="0086384B" w:rsidRPr="0086384B">
        <w:rPr>
          <w:rFonts w:ascii="Arial" w:hAnsi="Arial" w:cs="Arial"/>
          <w:sz w:val="20"/>
          <w:szCs w:val="20"/>
          <w:lang w:eastAsia="en-US"/>
        </w:rPr>
        <w:t>Councils,</w:t>
      </w:r>
      <w:r w:rsidRPr="0086384B">
        <w:rPr>
          <w:rFonts w:ascii="Arial" w:hAnsi="Arial" w:cs="Arial"/>
          <w:sz w:val="20"/>
          <w:szCs w:val="20"/>
          <w:lang w:eastAsia="en-US"/>
        </w:rPr>
        <w:t xml:space="preserve"> and we will keep the information that is provided on file to assist with our work</w:t>
      </w:r>
      <w:r w:rsidRPr="0086384B">
        <w:rPr>
          <w:sz w:val="20"/>
          <w:szCs w:val="20"/>
          <w:lang w:eastAsia="en-US"/>
        </w:rPr>
        <w:t>.</w:t>
      </w:r>
    </w:p>
    <w:p w14:paraId="62C85E1B" w14:textId="3D9590E4" w:rsidR="00857A78" w:rsidRPr="0086384B" w:rsidRDefault="0086384B">
      <w:pPr>
        <w:rPr>
          <w:rFonts w:ascii="Arial" w:hAnsi="Arial" w:cs="Arial"/>
          <w:b/>
          <w:bCs/>
          <w:sz w:val="20"/>
          <w:szCs w:val="20"/>
        </w:rPr>
      </w:pPr>
      <w:r>
        <w:br/>
      </w:r>
      <w:r w:rsidRPr="0086384B">
        <w:rPr>
          <w:rFonts w:ascii="Arial" w:hAnsi="Arial" w:cs="Arial"/>
          <w:b/>
          <w:bCs/>
          <w:sz w:val="20"/>
          <w:szCs w:val="20"/>
        </w:rPr>
        <w:t>On the Roads</w:t>
      </w:r>
    </w:p>
    <w:p w14:paraId="185B8579" w14:textId="100D5775" w:rsidR="0086384B" w:rsidRDefault="00863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continuing to report the same potholes which are getting worse, I will continue to plug away at this.</w:t>
      </w:r>
    </w:p>
    <w:p w14:paraId="0ED241C3" w14:textId="77777777" w:rsidR="0086384B" w:rsidRDefault="0086384B">
      <w:pPr>
        <w:rPr>
          <w:rFonts w:ascii="Arial" w:hAnsi="Arial" w:cs="Arial"/>
          <w:sz w:val="20"/>
          <w:szCs w:val="20"/>
        </w:rPr>
      </w:pPr>
    </w:p>
    <w:p w14:paraId="0E0BFE80" w14:textId="6AE0CE36" w:rsidR="0086384B" w:rsidRDefault="00863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no waiting restrictions come into effect on 22</w:t>
      </w:r>
      <w:r w:rsidRPr="0086384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April as per the below table.</w:t>
      </w:r>
    </w:p>
    <w:p w14:paraId="26E17D04" w14:textId="1D672F81" w:rsidR="0086384B" w:rsidRDefault="0086384B" w:rsidP="0086384B">
      <w:pPr>
        <w:pStyle w:val="Default"/>
      </w:pPr>
    </w:p>
    <w:tbl>
      <w:tblPr>
        <w:tblW w:w="10154" w:type="dxa"/>
        <w:tblInd w:w="-91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35"/>
      </w:tblGrid>
      <w:tr w:rsidR="0086384B" w:rsidRPr="0086384B" w14:paraId="4613B7D2" w14:textId="77777777" w:rsidTr="0086384B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1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85B94D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Road </w:t>
            </w:r>
          </w:p>
        </w:tc>
        <w:tc>
          <w:tcPr>
            <w:tcW w:w="70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229751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86384B" w:rsidRPr="0086384B" w14:paraId="26FEF371" w14:textId="77777777" w:rsidTr="0086384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1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7FD25F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384B">
              <w:rPr>
                <w:b/>
                <w:bCs/>
                <w:sz w:val="20"/>
                <w:szCs w:val="20"/>
              </w:rPr>
              <w:t>B1021</w:t>
            </w:r>
            <w:proofErr w:type="spellEnd"/>
            <w:r w:rsidRPr="0086384B">
              <w:rPr>
                <w:b/>
                <w:bCs/>
                <w:sz w:val="20"/>
                <w:szCs w:val="20"/>
              </w:rPr>
              <w:t xml:space="preserve"> Station Road, Burnham-on-Crouch </w:t>
            </w:r>
          </w:p>
        </w:tc>
        <w:tc>
          <w:tcPr>
            <w:tcW w:w="70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B6739C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Southeast Side: </w:t>
            </w:r>
            <w:r w:rsidRPr="0086384B">
              <w:rPr>
                <w:sz w:val="20"/>
                <w:szCs w:val="20"/>
              </w:rPr>
              <w:t xml:space="preserve">From a point 10 metres northeast of its junction with Queens Road, south-westwards to a point 12 metres southwest of the junction. </w:t>
            </w:r>
          </w:p>
          <w:p w14:paraId="117DED22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sz w:val="20"/>
                <w:szCs w:val="20"/>
              </w:rPr>
              <w:t xml:space="preserve">TILE: </w:t>
            </w:r>
            <w:proofErr w:type="spellStart"/>
            <w:r w:rsidRPr="0086384B">
              <w:rPr>
                <w:sz w:val="20"/>
                <w:szCs w:val="20"/>
              </w:rPr>
              <w:t>TQ945</w:t>
            </w:r>
            <w:proofErr w:type="spellEnd"/>
            <w:r w:rsidRPr="0086384B">
              <w:rPr>
                <w:sz w:val="20"/>
                <w:szCs w:val="20"/>
              </w:rPr>
              <w:t xml:space="preserve"> 960 Rev. 0 to Rev. 1 </w:t>
            </w:r>
          </w:p>
        </w:tc>
      </w:tr>
      <w:tr w:rsidR="0086384B" w:rsidRPr="0086384B" w14:paraId="295E7F7E" w14:textId="77777777" w:rsidTr="0086384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CDF179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Queens Road, Burnham-on- Crouch </w:t>
            </w:r>
          </w:p>
        </w:tc>
        <w:tc>
          <w:tcPr>
            <w:tcW w:w="70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B56403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Both Sides: </w:t>
            </w:r>
            <w:r w:rsidRPr="0086384B">
              <w:rPr>
                <w:sz w:val="20"/>
                <w:szCs w:val="20"/>
              </w:rPr>
              <w:t xml:space="preserve">From its junction with </w:t>
            </w:r>
            <w:proofErr w:type="spellStart"/>
            <w:r w:rsidRPr="0086384B">
              <w:rPr>
                <w:sz w:val="20"/>
                <w:szCs w:val="20"/>
              </w:rPr>
              <w:t>B1021</w:t>
            </w:r>
            <w:proofErr w:type="spellEnd"/>
            <w:r w:rsidRPr="0086384B">
              <w:rPr>
                <w:sz w:val="20"/>
                <w:szCs w:val="20"/>
              </w:rPr>
              <w:t xml:space="preserve"> Station Road, south-eastwards for 10 metres. </w:t>
            </w:r>
          </w:p>
          <w:p w14:paraId="49CA6B48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Both Sides: </w:t>
            </w:r>
            <w:r w:rsidRPr="0086384B">
              <w:rPr>
                <w:sz w:val="20"/>
                <w:szCs w:val="20"/>
              </w:rPr>
              <w:t xml:space="preserve">From its junction with Albert Road, north-westwards for 10 metres. </w:t>
            </w:r>
          </w:p>
          <w:p w14:paraId="758278BA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sz w:val="20"/>
                <w:szCs w:val="20"/>
              </w:rPr>
              <w:t xml:space="preserve">TILES: </w:t>
            </w:r>
            <w:proofErr w:type="spellStart"/>
            <w:r w:rsidRPr="0086384B">
              <w:rPr>
                <w:sz w:val="20"/>
                <w:szCs w:val="20"/>
              </w:rPr>
              <w:t>TQ945</w:t>
            </w:r>
            <w:proofErr w:type="spellEnd"/>
            <w:r w:rsidRPr="0086384B">
              <w:rPr>
                <w:sz w:val="20"/>
                <w:szCs w:val="20"/>
              </w:rPr>
              <w:t xml:space="preserve"> 960 Rev. 0 to Rev. 1, </w:t>
            </w:r>
            <w:proofErr w:type="spellStart"/>
            <w:r w:rsidRPr="0086384B">
              <w:rPr>
                <w:sz w:val="20"/>
                <w:szCs w:val="20"/>
              </w:rPr>
              <w:t>TQ950</w:t>
            </w:r>
            <w:proofErr w:type="spellEnd"/>
            <w:r w:rsidRPr="0086384B">
              <w:rPr>
                <w:sz w:val="20"/>
                <w:szCs w:val="20"/>
              </w:rPr>
              <w:t xml:space="preserve"> 957 Rev. 0 to Rev. 1, </w:t>
            </w:r>
            <w:proofErr w:type="spellStart"/>
            <w:r w:rsidRPr="0086384B">
              <w:rPr>
                <w:sz w:val="20"/>
                <w:szCs w:val="20"/>
              </w:rPr>
              <w:t>TQ950</w:t>
            </w:r>
            <w:proofErr w:type="spellEnd"/>
            <w:r w:rsidRPr="0086384B">
              <w:rPr>
                <w:sz w:val="20"/>
                <w:szCs w:val="20"/>
              </w:rPr>
              <w:t xml:space="preserve"> 960 Rev. 1 to Rev. 2. </w:t>
            </w:r>
          </w:p>
        </w:tc>
      </w:tr>
      <w:tr w:rsidR="0086384B" w:rsidRPr="0086384B" w14:paraId="05B408C3" w14:textId="77777777" w:rsidTr="0086384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1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4DCB6F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Albert Road, Burnham-on-Crouch </w:t>
            </w:r>
          </w:p>
        </w:tc>
        <w:tc>
          <w:tcPr>
            <w:tcW w:w="70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821FD1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b/>
                <w:bCs/>
                <w:sz w:val="20"/>
                <w:szCs w:val="20"/>
              </w:rPr>
              <w:t xml:space="preserve">Northwest Side: </w:t>
            </w:r>
            <w:r w:rsidRPr="0086384B">
              <w:rPr>
                <w:sz w:val="20"/>
                <w:szCs w:val="20"/>
              </w:rPr>
              <w:t xml:space="preserve">From a point 10 metres northeast of its junction with Queens Road, south-westwards to a point 10 metres southwest of the junction. </w:t>
            </w:r>
          </w:p>
          <w:p w14:paraId="230B5B23" w14:textId="77777777" w:rsidR="0086384B" w:rsidRPr="0086384B" w:rsidRDefault="0086384B">
            <w:pPr>
              <w:pStyle w:val="Default"/>
              <w:rPr>
                <w:sz w:val="20"/>
                <w:szCs w:val="20"/>
              </w:rPr>
            </w:pPr>
            <w:r w:rsidRPr="0086384B">
              <w:rPr>
                <w:sz w:val="20"/>
                <w:szCs w:val="20"/>
              </w:rPr>
              <w:t xml:space="preserve">TILES: </w:t>
            </w:r>
            <w:proofErr w:type="spellStart"/>
            <w:r w:rsidRPr="0086384B">
              <w:rPr>
                <w:sz w:val="20"/>
                <w:szCs w:val="20"/>
              </w:rPr>
              <w:t>TQ950</w:t>
            </w:r>
            <w:proofErr w:type="spellEnd"/>
            <w:r w:rsidRPr="0086384B">
              <w:rPr>
                <w:sz w:val="20"/>
                <w:szCs w:val="20"/>
              </w:rPr>
              <w:t xml:space="preserve"> 960 Rev. 1 to Rev. 2, </w:t>
            </w:r>
            <w:proofErr w:type="spellStart"/>
            <w:r w:rsidRPr="0086384B">
              <w:rPr>
                <w:sz w:val="20"/>
                <w:szCs w:val="20"/>
              </w:rPr>
              <w:t>TQ950</w:t>
            </w:r>
            <w:proofErr w:type="spellEnd"/>
            <w:r w:rsidRPr="0086384B">
              <w:rPr>
                <w:sz w:val="20"/>
                <w:szCs w:val="20"/>
              </w:rPr>
              <w:t xml:space="preserve"> 957 Rev. 0 to Rev. 1 </w:t>
            </w:r>
          </w:p>
        </w:tc>
      </w:tr>
    </w:tbl>
    <w:p w14:paraId="62A0971B" w14:textId="77777777" w:rsidR="0086384B" w:rsidRDefault="0086384B">
      <w:pPr>
        <w:rPr>
          <w:rFonts w:ascii="Arial" w:hAnsi="Arial" w:cs="Arial"/>
          <w:sz w:val="20"/>
          <w:szCs w:val="20"/>
        </w:rPr>
      </w:pPr>
    </w:p>
    <w:p w14:paraId="748E06E8" w14:textId="7F226105" w:rsidR="0086384B" w:rsidRPr="00FF2B75" w:rsidRDefault="00FF2B75">
      <w:pPr>
        <w:rPr>
          <w:rFonts w:ascii="Arial" w:hAnsi="Arial" w:cs="Arial"/>
          <w:b/>
          <w:bCs/>
          <w:sz w:val="20"/>
          <w:szCs w:val="20"/>
        </w:rPr>
      </w:pPr>
      <w:r w:rsidRPr="00FF2B75">
        <w:rPr>
          <w:rFonts w:ascii="Arial" w:hAnsi="Arial" w:cs="Arial"/>
          <w:b/>
          <w:bCs/>
          <w:sz w:val="20"/>
          <w:szCs w:val="20"/>
        </w:rPr>
        <w:t>Paving the way</w:t>
      </w:r>
    </w:p>
    <w:p w14:paraId="0A642EF2" w14:textId="77777777" w:rsidR="00FF2B75" w:rsidRDefault="00FF2B75">
      <w:pPr>
        <w:rPr>
          <w:rFonts w:ascii="Arial" w:hAnsi="Arial" w:cs="Arial"/>
          <w:sz w:val="20"/>
          <w:szCs w:val="20"/>
        </w:rPr>
      </w:pPr>
    </w:p>
    <w:p w14:paraId="326CB8A5" w14:textId="04E2D512" w:rsidR="00FF2B75" w:rsidRPr="0086384B" w:rsidRDefault="00FF2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been to Maldon District council with regards to the seating on the pavement and they have assured me they will be carrying out further investigation and enforcement where necessary.  </w:t>
      </w:r>
    </w:p>
    <w:sectPr w:rsidR="00FF2B75" w:rsidRPr="00863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993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13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0E"/>
    <w:rsid w:val="00034170"/>
    <w:rsid w:val="000F450E"/>
    <w:rsid w:val="00320A9E"/>
    <w:rsid w:val="00857A78"/>
    <w:rsid w:val="0086384B"/>
    <w:rsid w:val="00B161D2"/>
    <w:rsid w:val="00FC3797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975E"/>
  <w15:chartTrackingRefBased/>
  <w15:docId w15:val="{6EEBBE65-F614-431E-80B5-20B4FB5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F45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45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50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50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50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0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50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50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50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50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0F450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0F450E"/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0F450E"/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0F450E"/>
    <w:rPr>
      <w:rFonts w:asciiTheme="minorHAnsi" w:eastAsiaTheme="majorEastAsia" w:hAnsiTheme="minorHAnsi" w:cstheme="majorBidi"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0F450E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0F450E"/>
    <w:rPr>
      <w:rFonts w:asciiTheme="minorHAnsi" w:eastAsiaTheme="majorEastAsia" w:hAnsiTheme="minorHAnsi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0F450E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0F450E"/>
    <w:rPr>
      <w:rFonts w:asciiTheme="minorHAnsi" w:eastAsiaTheme="majorEastAsia" w:hAnsiTheme="minorHAnsi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qFormat/>
    <w:rsid w:val="000F45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F450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0F450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F450E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F45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450E"/>
    <w:rPr>
      <w:i/>
      <w:iCs/>
      <w:color w:val="404040" w:themeColor="text1" w:themeTint="B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45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45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5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50E"/>
    <w:rPr>
      <w:i/>
      <w:iCs/>
      <w:color w:val="0F4761" w:themeColor="accent1" w:themeShade="BF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0F45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F450E"/>
    <w:pPr>
      <w:spacing w:before="100" w:beforeAutospacing="1" w:after="100" w:afterAutospacing="1"/>
    </w:pPr>
    <w:rPr>
      <w:rFonts w:ascii="Aptos" w:eastAsiaTheme="minorHAnsi" w:hAnsi="Aptos" w:cs="Aptos"/>
    </w:rPr>
  </w:style>
  <w:style w:type="character" w:styleId="Emphasis">
    <w:name w:val="Emphasis"/>
    <w:basedOn w:val="DefaultParagraphFont"/>
    <w:uiPriority w:val="20"/>
    <w:qFormat/>
    <w:rsid w:val="000F450E"/>
    <w:rPr>
      <w:i/>
      <w:iCs/>
    </w:rPr>
  </w:style>
  <w:style w:type="character" w:styleId="Hyperlink">
    <w:name w:val="Hyperlink"/>
    <w:basedOn w:val="DefaultParagraphFont"/>
    <w:uiPriority w:val="99"/>
    <w:unhideWhenUsed/>
    <w:rsid w:val="000F450E"/>
    <w:rPr>
      <w:color w:val="0563C1"/>
      <w:u w:val="single"/>
    </w:rPr>
  </w:style>
  <w:style w:type="paragraph" w:customStyle="1" w:styleId="Default">
    <w:name w:val="Default"/>
    <w:rsid w:val="0086384B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ations.essex.gov.uk/iptu/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Burnham-on-Crouch Town Council Clerk</dc:creator>
  <cp:keywords/>
  <dc:description/>
  <cp:lastModifiedBy>Burnham-on-Crouch Town Council Clerk</cp:lastModifiedBy>
  <cp:revision>1</cp:revision>
  <dcterms:created xsi:type="dcterms:W3CDTF">2024-03-27T13:49:00Z</dcterms:created>
  <dcterms:modified xsi:type="dcterms:W3CDTF">2024-03-27T14:53:00Z</dcterms:modified>
</cp:coreProperties>
</file>